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3E" w:rsidRPr="00AC41E7" w:rsidRDefault="00B34631" w:rsidP="00552745">
      <w:pPr>
        <w:pStyle w:val="Title"/>
        <w:jc w:val="both"/>
        <w:rPr>
          <w:rFonts w:asciiTheme="minorHAnsi" w:hAnsiTheme="minorHAnsi" w:cstheme="minorHAnsi"/>
          <w:sz w:val="24"/>
          <w:szCs w:val="24"/>
        </w:rPr>
      </w:pPr>
      <w:bookmarkStart w:id="0" w:name="_GoBack"/>
      <w:bookmarkEnd w:id="0"/>
      <w:r w:rsidRPr="00AC41E7">
        <w:rPr>
          <w:rFonts w:asciiTheme="minorHAnsi" w:hAnsiTheme="minorHAnsi" w:cstheme="minorHAnsi"/>
          <w:sz w:val="24"/>
          <w:szCs w:val="24"/>
        </w:rPr>
        <w:t>ARTICLES OF ASSOCIATION</w:t>
      </w:r>
    </w:p>
    <w:p w:rsidR="009D00DF" w:rsidRPr="00AC41E7" w:rsidRDefault="00B34631" w:rsidP="00552745">
      <w:pPr>
        <w:pStyle w:val="Heading1"/>
        <w:jc w:val="both"/>
        <w:rPr>
          <w:rFonts w:asciiTheme="minorHAnsi" w:hAnsiTheme="minorHAnsi" w:cstheme="minorHAnsi"/>
        </w:rPr>
      </w:pPr>
      <w:r w:rsidRPr="00AC41E7">
        <w:rPr>
          <w:rFonts w:asciiTheme="minorHAnsi" w:hAnsiTheme="minorHAnsi" w:cstheme="minorHAnsi"/>
        </w:rPr>
        <w:t xml:space="preserve">name of the company </w:t>
      </w:r>
    </w:p>
    <w:p w:rsidR="009D00DF"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The name of the company is Starbreeze AB (publ).</w:t>
      </w:r>
    </w:p>
    <w:p w:rsidR="009D00DF" w:rsidRPr="00AC41E7" w:rsidRDefault="00B34631" w:rsidP="00552745">
      <w:pPr>
        <w:pStyle w:val="Heading1"/>
        <w:jc w:val="both"/>
        <w:rPr>
          <w:rFonts w:asciiTheme="minorHAnsi" w:hAnsiTheme="minorHAnsi" w:cstheme="minorHAnsi"/>
        </w:rPr>
      </w:pPr>
      <w:r w:rsidRPr="00AC41E7">
        <w:rPr>
          <w:rFonts w:asciiTheme="minorHAnsi" w:hAnsiTheme="minorHAnsi" w:cstheme="minorHAnsi"/>
        </w:rPr>
        <w:t xml:space="preserve">registered office </w:t>
      </w:r>
    </w:p>
    <w:p w:rsidR="009D00DF"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The board of directors shall have its registered office in the municipality of Stockholm, Sweden.</w:t>
      </w:r>
    </w:p>
    <w:p w:rsidR="009D00DF" w:rsidRPr="00AC41E7" w:rsidRDefault="00B34631" w:rsidP="00552745">
      <w:pPr>
        <w:pStyle w:val="Heading1"/>
        <w:jc w:val="both"/>
        <w:rPr>
          <w:rFonts w:asciiTheme="minorHAnsi" w:hAnsiTheme="minorHAnsi" w:cstheme="minorHAnsi"/>
        </w:rPr>
      </w:pPr>
      <w:r w:rsidRPr="00AC41E7">
        <w:rPr>
          <w:rFonts w:asciiTheme="minorHAnsi" w:hAnsiTheme="minorHAnsi" w:cstheme="minorHAnsi"/>
        </w:rPr>
        <w:t xml:space="preserve">objects </w:t>
      </w:r>
    </w:p>
    <w:p w:rsidR="009D00DF"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The business of the Company shall be to, directly and through subsidiaries or associations, joint ventures or other partnerships, develop, market, license, publish, sell and/or distribute software, equipment and/or brands related to interactive entertainment and/or products and services in the area of virtual reality, both for consumers and professional users, and related business.</w:t>
      </w:r>
    </w:p>
    <w:p w:rsidR="009D00DF" w:rsidRPr="00AC41E7" w:rsidRDefault="00B34631" w:rsidP="00552745">
      <w:pPr>
        <w:pStyle w:val="Heading1"/>
        <w:jc w:val="both"/>
        <w:rPr>
          <w:rFonts w:asciiTheme="minorHAnsi" w:hAnsiTheme="minorHAnsi" w:cstheme="minorHAnsi"/>
        </w:rPr>
      </w:pPr>
      <w:r w:rsidRPr="00AC41E7">
        <w:rPr>
          <w:rFonts w:asciiTheme="minorHAnsi" w:hAnsiTheme="minorHAnsi" w:cstheme="minorHAnsi"/>
        </w:rPr>
        <w:t>share capital</w:t>
      </w:r>
    </w:p>
    <w:p w:rsidR="009D00DF"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 xml:space="preserve">Share capital shall be not less than SEK </w:t>
      </w:r>
      <w:r w:rsidR="00093521" w:rsidRPr="00093521">
        <w:rPr>
          <w:rFonts w:asciiTheme="minorHAnsi" w:hAnsiTheme="minorHAnsi" w:cstheme="minorHAnsi"/>
          <w:lang w:val="en-US"/>
        </w:rPr>
        <w:t>7,000,000 and not more than SEK 28,000,000</w:t>
      </w:r>
      <w:r w:rsidRPr="00AC41E7">
        <w:rPr>
          <w:rFonts w:asciiTheme="minorHAnsi" w:hAnsiTheme="minorHAnsi" w:cstheme="minorHAnsi"/>
          <w:lang w:val="en-US"/>
        </w:rPr>
        <w:t>.</w:t>
      </w:r>
    </w:p>
    <w:p w:rsidR="009D00DF" w:rsidRPr="00AC41E7" w:rsidRDefault="00B34631" w:rsidP="00552745">
      <w:pPr>
        <w:pStyle w:val="Heading1"/>
        <w:jc w:val="both"/>
        <w:rPr>
          <w:rFonts w:asciiTheme="minorHAnsi" w:hAnsiTheme="minorHAnsi" w:cstheme="minorHAnsi"/>
        </w:rPr>
      </w:pPr>
      <w:r w:rsidRPr="00AC41E7">
        <w:rPr>
          <w:rFonts w:asciiTheme="minorHAnsi" w:hAnsiTheme="minorHAnsi" w:cstheme="minorHAnsi"/>
        </w:rPr>
        <w:t xml:space="preserve">shares </w:t>
      </w:r>
    </w:p>
    <w:p w:rsidR="00622164" w:rsidRPr="00AC41E7" w:rsidRDefault="00093521" w:rsidP="00552745">
      <w:pPr>
        <w:pStyle w:val="Stycke1"/>
        <w:jc w:val="both"/>
        <w:rPr>
          <w:rFonts w:asciiTheme="minorHAnsi" w:hAnsiTheme="minorHAnsi" w:cstheme="minorHAnsi"/>
          <w:lang w:val="en-US"/>
        </w:rPr>
      </w:pPr>
      <w:r w:rsidRPr="00093521">
        <w:rPr>
          <w:rFonts w:asciiTheme="minorHAnsi" w:hAnsiTheme="minorHAnsi" w:cstheme="minorHAnsi"/>
          <w:lang w:val="en-US"/>
        </w:rPr>
        <w:t xml:space="preserve">The number of shares in the company shall be not less than 350,000,000 and not more than 1,400,000,000. </w:t>
      </w:r>
      <w:r w:rsidR="00B34631" w:rsidRPr="00AC41E7">
        <w:rPr>
          <w:rFonts w:asciiTheme="minorHAnsi" w:hAnsiTheme="minorHAnsi" w:cstheme="minorHAnsi"/>
          <w:lang w:val="en-US"/>
        </w:rPr>
        <w:t>Shares may be issued in two classes: Class A shares and Class B shares. Shares of each class may be issued up to an amount corresponding to a total of 100 percent of share capital. Each Class A share shall carry ten (10) votes and each Class B share shall carry one (1) vote. Otherwise, Class A shares and Class B shares carry equal rights to a share in the company’s assets and profits.</w:t>
      </w:r>
    </w:p>
    <w:p w:rsidR="00622164" w:rsidRPr="00AC41E7" w:rsidRDefault="00B34631" w:rsidP="00552745">
      <w:pPr>
        <w:pStyle w:val="Stycke1"/>
        <w:jc w:val="both"/>
        <w:rPr>
          <w:rFonts w:asciiTheme="minorHAnsi" w:hAnsiTheme="minorHAnsi" w:cstheme="minorHAnsi"/>
          <w:lang w:val="en-US"/>
        </w:rPr>
      </w:pPr>
      <w:r w:rsidRPr="00AC41E7">
        <w:rPr>
          <w:rFonts w:asciiTheme="minorHAnsi" w:hAnsiTheme="minorHAnsi" w:cstheme="minorHAnsi"/>
          <w:lang w:val="en-US"/>
        </w:rPr>
        <w:t>If the Company decides to issue new Class A and Class B shares through a cash issue or offset issue, owners of Class A and Class B shares shall have preferential rights to subscribe for new shares of the same class, pro rata to the number of shares the shareholder previously owned (primary preferential rights). Shares that are not subscribed under primary preferential rights shall be offered to all shareholders for subscription (subsidiary preferential rights). If shares thus offered do not suffice for the subscription under subsidiary preferential rights, the shares shall be allocated among the subscribers pro rata to the number of shares they previously owned and, to the extent this is impossible, through the drawing of lots.</w:t>
      </w:r>
    </w:p>
    <w:p w:rsidR="00622164"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If the Company decides to issue only Class A shares or only Class B shares through a cash issue or offset issue, all shareholders, regardless of whether their shares are of Class A or Class B, shall have preferential rights to subscribe for new shares, pro rata to the number of shares previously owned.</w:t>
      </w:r>
    </w:p>
    <w:p w:rsidR="0043667D"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If the Company decides to issue warrants or  convertible securities through a cash issue or offset issue, shareholders have preferential rights to subscribe for warrants, as if the issue applied to the shares that may be newly subscribed on the basis of the warrant right or preferential right; respectively, shareholders shall have preferential rights to subscribe for convertible securities as if the issue applied to the shares against which the convertible securities may be exchanged.</w:t>
      </w:r>
    </w:p>
    <w:p w:rsidR="0043667D"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That stated in the foregoing shall not imply any restriction to the option to resolve in favor of a cash issue or offset issue with a waiver of the shareholders’ preferential rights.</w:t>
      </w:r>
    </w:p>
    <w:p w:rsidR="0043667D"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 xml:space="preserve">If share capital is increased through a bonus issue, new shares of each share class shall be issued pro rata to the previously existing number of shares of the same class. In that connection, previously </w:t>
      </w:r>
      <w:r w:rsidRPr="00AC41E7">
        <w:rPr>
          <w:rFonts w:asciiTheme="minorHAnsi" w:hAnsiTheme="minorHAnsi" w:cstheme="minorHAnsi"/>
          <w:lang w:val="en-US"/>
        </w:rPr>
        <w:lastRenderedPageBreak/>
        <w:t>existing shares of a particular class shall carry the right to new shares of the same class. That stated in the foregoing shall not imply any restriction to the option to issue shares of a new class by means of a bonus issue and subsequent to the requisite amendment to the articles of association.</w:t>
      </w:r>
    </w:p>
    <w:p w:rsidR="00622164" w:rsidRPr="00AC41E7" w:rsidRDefault="00B34631" w:rsidP="00926627">
      <w:pPr>
        <w:pStyle w:val="Stycke1"/>
        <w:jc w:val="both"/>
        <w:rPr>
          <w:rFonts w:asciiTheme="minorHAnsi" w:hAnsiTheme="minorHAnsi" w:cstheme="minorHAnsi"/>
          <w:lang w:val="en-US"/>
        </w:rPr>
      </w:pPr>
      <w:r w:rsidRPr="00AC41E7">
        <w:rPr>
          <w:rFonts w:asciiTheme="minorHAnsi" w:hAnsiTheme="minorHAnsi" w:cstheme="minorHAnsi"/>
          <w:lang w:val="en-US"/>
        </w:rPr>
        <w:t>Upon request of the shareholder, Class A shares shall be converted to Class B shares. The request for conversion shall be made in writing to the board of directors and shall specify the number of Class A shares to be converted to Class B shares and, if the request does not refer to the entire holding, specify the Class A shares to which the conversion refers. The company shall immediately notify the conversion to the Swedish Companies Registration Office for registration in the companies register. The conversion is executed once the registration is complete and has been entered in the CSD register.</w:t>
      </w:r>
    </w:p>
    <w:p w:rsidR="00622164" w:rsidRPr="00AC41E7" w:rsidRDefault="00B34631" w:rsidP="00552745">
      <w:pPr>
        <w:pStyle w:val="Heading1"/>
        <w:jc w:val="both"/>
        <w:rPr>
          <w:rFonts w:asciiTheme="minorHAnsi" w:hAnsiTheme="minorHAnsi" w:cstheme="minorHAnsi"/>
        </w:rPr>
      </w:pPr>
      <w:r w:rsidRPr="00AC41E7">
        <w:rPr>
          <w:rFonts w:asciiTheme="minorHAnsi" w:hAnsiTheme="minorHAnsi" w:cstheme="minorHAnsi"/>
        </w:rPr>
        <w:t>board of directors</w:t>
      </w:r>
    </w:p>
    <w:p w:rsidR="00622164"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The board of directors shall be composed of no fewer than four (4) directors and no more than eight (8) directors and no more than two (2) alternate directors.</w:t>
      </w:r>
    </w:p>
    <w:p w:rsidR="00622164" w:rsidRPr="00AC41E7" w:rsidRDefault="00B34631" w:rsidP="00552745">
      <w:pPr>
        <w:pStyle w:val="Heading1"/>
        <w:jc w:val="both"/>
        <w:rPr>
          <w:rFonts w:asciiTheme="minorHAnsi" w:hAnsiTheme="minorHAnsi" w:cstheme="minorHAnsi"/>
        </w:rPr>
      </w:pPr>
      <w:r w:rsidRPr="00AC41E7">
        <w:rPr>
          <w:rFonts w:asciiTheme="minorHAnsi" w:hAnsiTheme="minorHAnsi" w:cstheme="minorHAnsi"/>
        </w:rPr>
        <w:t xml:space="preserve">Statutory auditor </w:t>
      </w:r>
    </w:p>
    <w:p w:rsidR="00622164"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The company shall have one (1) or two (2) statutory auditors. Registered audit firms may be appointed as the statutory auditor.</w:t>
      </w:r>
    </w:p>
    <w:p w:rsidR="00622164" w:rsidRPr="00AC41E7" w:rsidRDefault="00B34631" w:rsidP="00552745">
      <w:pPr>
        <w:pStyle w:val="Heading1"/>
        <w:jc w:val="both"/>
        <w:rPr>
          <w:rFonts w:asciiTheme="minorHAnsi" w:hAnsiTheme="minorHAnsi" w:cstheme="minorHAnsi"/>
          <w:lang w:val="en-US"/>
        </w:rPr>
      </w:pPr>
      <w:bookmarkStart w:id="1" w:name="_Hlk64404996"/>
      <w:r w:rsidRPr="00AC41E7">
        <w:rPr>
          <w:rFonts w:asciiTheme="minorHAnsi" w:hAnsiTheme="minorHAnsi" w:cstheme="minorHAnsi"/>
          <w:lang w:val="en-US"/>
        </w:rPr>
        <w:t>Notice and registration to attend general meetings</w:t>
      </w:r>
    </w:p>
    <w:p w:rsidR="00926627"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 xml:space="preserve">Notices </w:t>
      </w:r>
      <w:bookmarkEnd w:id="1"/>
      <w:r w:rsidRPr="00AC41E7">
        <w:rPr>
          <w:rFonts w:asciiTheme="minorHAnsi" w:hAnsiTheme="minorHAnsi" w:cstheme="minorHAnsi"/>
          <w:lang w:val="en-US"/>
        </w:rPr>
        <w:t>of general meetings must be made through advertisement in Post- och Inrikes Tidningar and by posting the notice on the company’s website. When notice is made, the company shall advertise in Dagens Industri that that notice to attend has been issued.</w:t>
      </w:r>
    </w:p>
    <w:p w:rsidR="0092662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Shareholders wishing to attend the general meeting must notify the Company of intent to participate no later than the day specified in the notice of meeting. This day cannot be a Sunday, other public holiday, Midsummer’s Eve, Christmas Eve or New Year’s Eve and cannot be earlier than five (5) weekdays before the meeting.</w:t>
      </w:r>
    </w:p>
    <w:p w:rsidR="00C5537F" w:rsidRPr="00C5537F" w:rsidRDefault="00C5537F" w:rsidP="00C5537F">
      <w:pPr>
        <w:pStyle w:val="Heading1"/>
        <w:jc w:val="both"/>
        <w:rPr>
          <w:rFonts w:asciiTheme="minorHAnsi" w:hAnsiTheme="minorHAnsi" w:cstheme="minorHAnsi"/>
          <w:lang w:val="en-US"/>
        </w:rPr>
      </w:pPr>
      <w:r>
        <w:rPr>
          <w:rFonts w:asciiTheme="minorHAnsi" w:hAnsiTheme="minorHAnsi" w:cstheme="minorHAnsi"/>
          <w:lang w:val="en-US"/>
        </w:rPr>
        <w:t>COLLECTION OF PO</w:t>
      </w:r>
      <w:r w:rsidR="00442D5D">
        <w:rPr>
          <w:rFonts w:asciiTheme="minorHAnsi" w:hAnsiTheme="minorHAnsi" w:cstheme="minorHAnsi"/>
          <w:lang w:val="en-US"/>
        </w:rPr>
        <w:t>wers of attorney</w:t>
      </w:r>
      <w:r>
        <w:rPr>
          <w:rFonts w:asciiTheme="minorHAnsi" w:hAnsiTheme="minorHAnsi" w:cstheme="minorHAnsi"/>
          <w:lang w:val="en-US"/>
        </w:rPr>
        <w:t xml:space="preserve"> AND POSTAL VOTING</w:t>
      </w:r>
    </w:p>
    <w:p w:rsidR="00C5537F" w:rsidRPr="00AC41E7" w:rsidRDefault="00442D5D" w:rsidP="00C5537F">
      <w:pPr>
        <w:pStyle w:val="IndragNormal"/>
        <w:jc w:val="both"/>
        <w:rPr>
          <w:rFonts w:asciiTheme="minorHAnsi" w:hAnsiTheme="minorHAnsi" w:cstheme="minorHAnsi"/>
          <w:lang w:val="en-US"/>
        </w:rPr>
      </w:pPr>
      <w:r w:rsidRPr="00442D5D">
        <w:rPr>
          <w:rFonts w:asciiTheme="minorHAnsi" w:hAnsiTheme="minorHAnsi" w:cstheme="minorHAnsi"/>
          <w:lang w:val="en-US"/>
        </w:rPr>
        <w:t>The Board of Directors has the right to collect powers of attorney as set out</w:t>
      </w:r>
      <w:r w:rsidR="00C5537F" w:rsidRPr="00C5537F">
        <w:rPr>
          <w:rFonts w:asciiTheme="minorHAnsi" w:hAnsiTheme="minorHAnsi" w:cstheme="minorHAnsi"/>
          <w:lang w:val="en-US"/>
        </w:rPr>
        <w:t xml:space="preserve"> in Chapter 7, Section 4, second paragraph of the Swedish Companies Act (2005:551). The Board of Directors may decide before a General Meeting that the shareholders shall be able to exercise their voting rights by post before the General Meeting pursuant to the procedure stated in Chapter 7, Section 4 a of the Swedish Companies Act (2005:551).</w:t>
      </w:r>
    </w:p>
    <w:p w:rsidR="00622164" w:rsidRPr="00AC41E7" w:rsidRDefault="00B34631" w:rsidP="00552745">
      <w:pPr>
        <w:pStyle w:val="Heading1"/>
        <w:jc w:val="both"/>
        <w:rPr>
          <w:rFonts w:asciiTheme="minorHAnsi" w:hAnsiTheme="minorHAnsi" w:cstheme="minorHAnsi"/>
        </w:rPr>
      </w:pPr>
      <w:r w:rsidRPr="00AC41E7">
        <w:rPr>
          <w:rFonts w:asciiTheme="minorHAnsi" w:hAnsiTheme="minorHAnsi" w:cstheme="minorHAnsi"/>
        </w:rPr>
        <w:t xml:space="preserve">financial year </w:t>
      </w:r>
    </w:p>
    <w:p w:rsidR="00622164"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The company’s financial year shall begin 1 January and end 31 December.</w:t>
      </w:r>
    </w:p>
    <w:p w:rsidR="00622164" w:rsidRPr="00AC41E7" w:rsidRDefault="00B34631" w:rsidP="00552745">
      <w:pPr>
        <w:pStyle w:val="Heading1"/>
        <w:jc w:val="both"/>
        <w:rPr>
          <w:rFonts w:asciiTheme="minorHAnsi" w:hAnsiTheme="minorHAnsi" w:cstheme="minorHAnsi"/>
        </w:rPr>
      </w:pPr>
      <w:r w:rsidRPr="00AC41E7">
        <w:rPr>
          <w:rFonts w:asciiTheme="minorHAnsi" w:hAnsiTheme="minorHAnsi" w:cstheme="minorHAnsi"/>
        </w:rPr>
        <w:t xml:space="preserve">csd clause </w:t>
      </w:r>
    </w:p>
    <w:p w:rsidR="00926627" w:rsidRPr="00AC41E7" w:rsidRDefault="00B34631" w:rsidP="00552745">
      <w:pPr>
        <w:pStyle w:val="IndragNormal"/>
        <w:jc w:val="both"/>
        <w:rPr>
          <w:rFonts w:asciiTheme="minorHAnsi" w:hAnsiTheme="minorHAnsi" w:cstheme="minorHAnsi"/>
          <w:lang w:val="en-US"/>
        </w:rPr>
      </w:pPr>
      <w:r w:rsidRPr="00AC41E7">
        <w:rPr>
          <w:rFonts w:asciiTheme="minorHAnsi" w:hAnsiTheme="minorHAnsi" w:cstheme="minorHAnsi"/>
          <w:lang w:val="en-US"/>
        </w:rPr>
        <w:t xml:space="preserve">The company’s shares shall be registered in a CSD register pursuant to the </w:t>
      </w:r>
      <w:r w:rsidR="00630405" w:rsidRPr="00630405">
        <w:rPr>
          <w:rFonts w:asciiTheme="minorHAnsi" w:hAnsiTheme="minorHAnsi" w:cstheme="minorHAnsi"/>
          <w:lang w:val="en-US"/>
        </w:rPr>
        <w:t xml:space="preserve">Swedish Central Securities Depositories and </w:t>
      </w:r>
      <w:r w:rsidRPr="00AC41E7">
        <w:rPr>
          <w:rFonts w:asciiTheme="minorHAnsi" w:hAnsiTheme="minorHAnsi" w:cstheme="minorHAnsi"/>
          <w:lang w:val="en-US"/>
        </w:rPr>
        <w:t>Financial Instruments (Accounts) Act (1998:1479).</w:t>
      </w:r>
    </w:p>
    <w:p w:rsidR="009D00DF" w:rsidRPr="00AC41E7" w:rsidRDefault="00BB6B89" w:rsidP="00552745">
      <w:pPr>
        <w:ind w:left="360"/>
        <w:jc w:val="both"/>
        <w:rPr>
          <w:rFonts w:asciiTheme="minorHAnsi" w:hAnsiTheme="minorHAnsi" w:cstheme="minorHAnsi"/>
          <w:lang w:val="en-US"/>
        </w:rPr>
      </w:pPr>
    </w:p>
    <w:sectPr w:rsidR="009D00DF" w:rsidRPr="00AC4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50B0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13896EE"/>
    <w:lvl w:ilvl="0">
      <w:start w:val="1"/>
      <w:numFmt w:val="decimal"/>
      <w:pStyle w:val="ListNumber"/>
      <w:lvlText w:val="(%1)"/>
      <w:lvlJc w:val="left"/>
      <w:pPr>
        <w:ind w:left="360" w:hanging="360"/>
      </w:pPr>
      <w:rPr>
        <w:rFonts w:hint="default"/>
      </w:rPr>
    </w:lvl>
  </w:abstractNum>
  <w:abstractNum w:abstractNumId="2" w15:restartNumberingAfterBreak="0">
    <w:nsid w:val="FFFFFF89"/>
    <w:multiLevelType w:val="singleLevel"/>
    <w:tmpl w:val="6FB889A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376A46"/>
    <w:multiLevelType w:val="multilevel"/>
    <w:tmpl w:val="05D06666"/>
    <w:styleLink w:val="NumreradRubrik"/>
    <w:lvl w:ilvl="0">
      <w:start w:val="1"/>
      <w:numFmt w:val="decimal"/>
      <w:lvlText w:val="%1"/>
      <w:lvlJc w:val="left"/>
      <w:pPr>
        <w:ind w:left="851" w:hanging="851"/>
      </w:pPr>
      <w:rPr>
        <w:rFonts w:ascii="Arial" w:hAnsi="Arial" w:hint="default"/>
        <w:b/>
        <w:sz w:val="20"/>
      </w:rPr>
    </w:lvl>
    <w:lvl w:ilvl="1">
      <w:start w:val="1"/>
      <w:numFmt w:val="decimal"/>
      <w:lvlText w:val="%1.%2"/>
      <w:lvlJc w:val="left"/>
      <w:pPr>
        <w:ind w:left="851" w:hanging="851"/>
      </w:pPr>
      <w:rPr>
        <w:rFonts w:ascii="Arial" w:hAnsi="Arial" w:hint="default"/>
        <w:b/>
        <w:sz w:val="20"/>
      </w:rPr>
    </w:lvl>
    <w:lvl w:ilvl="2">
      <w:start w:val="1"/>
      <w:numFmt w:val="decimal"/>
      <w:lvlText w:val="%1.%2.%3"/>
      <w:lvlJc w:val="left"/>
      <w:pPr>
        <w:ind w:left="851" w:hanging="851"/>
      </w:pPr>
      <w:rPr>
        <w:rFonts w:ascii="Arial" w:hAnsi="Arial" w:hint="default"/>
        <w:i/>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00C40E90"/>
    <w:multiLevelType w:val="multilevel"/>
    <w:tmpl w:val="021A2154"/>
    <w:styleLink w:val="NordoCo"/>
    <w:lvl w:ilvl="0">
      <w:start w:val="1"/>
      <w:numFmt w:val="decimal"/>
      <w:pStyle w:val="Heading1"/>
      <w:lvlText w:val="%1"/>
      <w:lvlJc w:val="left"/>
      <w:pPr>
        <w:ind w:left="851" w:hanging="851"/>
      </w:pPr>
      <w:rPr>
        <w:rFonts w:ascii="Arial" w:hAnsi="Arial" w:hint="default"/>
        <w:b/>
        <w:caps/>
        <w:smallCaps w:val="0"/>
        <w:sz w:val="20"/>
      </w:rPr>
    </w:lvl>
    <w:lvl w:ilvl="1">
      <w:start w:val="1"/>
      <w:numFmt w:val="decimal"/>
      <w:pStyle w:val="Stycke1"/>
      <w:lvlText w:val="%1.%2"/>
      <w:lvlJc w:val="left"/>
      <w:pPr>
        <w:ind w:left="851" w:hanging="851"/>
      </w:pPr>
      <w:rPr>
        <w:rFonts w:ascii="Arial" w:hAnsi="Arial" w:hint="default"/>
        <w:sz w:val="20"/>
      </w:rPr>
    </w:lvl>
    <w:lvl w:ilvl="2">
      <w:start w:val="1"/>
      <w:numFmt w:val="decimal"/>
      <w:pStyle w:val="Heading2"/>
      <w:lvlText w:val="%1.%3"/>
      <w:lvlJc w:val="left"/>
      <w:pPr>
        <w:ind w:left="851" w:hanging="851"/>
      </w:pPr>
      <w:rPr>
        <w:rFonts w:ascii="Arial" w:hAnsi="Arial" w:hint="default"/>
        <w:b/>
        <w:sz w:val="20"/>
      </w:rPr>
    </w:lvl>
    <w:lvl w:ilvl="3">
      <w:start w:val="1"/>
      <w:numFmt w:val="decimal"/>
      <w:pStyle w:val="Stycke2"/>
      <w:lvlText w:val="%1.%3.%4"/>
      <w:lvlJc w:val="left"/>
      <w:pPr>
        <w:ind w:left="851" w:hanging="851"/>
      </w:pPr>
      <w:rPr>
        <w:rFonts w:ascii="Arial" w:hAnsi="Arial" w:hint="default"/>
        <w:sz w:val="20"/>
      </w:rPr>
    </w:lvl>
    <w:lvl w:ilvl="4">
      <w:start w:val="1"/>
      <w:numFmt w:val="decimal"/>
      <w:pStyle w:val="Heading3"/>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231773C0"/>
    <w:multiLevelType w:val="multilevel"/>
    <w:tmpl w:val="F04661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Heading4"/>
      <w:lvlText w:val="%1.%2.%3.%4"/>
      <w:lvlJc w:val="left"/>
      <w:pPr>
        <w:ind w:left="851" w:hanging="851"/>
      </w:pPr>
      <w:rPr>
        <w:rFonts w:ascii="Arial" w:hAnsi="Arial" w:hint="default"/>
        <w:b w:val="0"/>
        <w:i w:val="0"/>
        <w:color w:val="auto"/>
        <w:sz w:val="20"/>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6" w15:restartNumberingAfterBreak="0">
    <w:nsid w:val="29A90121"/>
    <w:multiLevelType w:val="multilevel"/>
    <w:tmpl w:val="34D40232"/>
    <w:styleLink w:val="Stycke"/>
    <w:lvl w:ilvl="0">
      <w:start w:val="1"/>
      <w:numFmt w:val="decimal"/>
      <w:lvlText w:val="%1"/>
      <w:lvlJc w:val="left"/>
      <w:pPr>
        <w:ind w:left="851" w:hanging="851"/>
      </w:pPr>
      <w:rPr>
        <w:rFonts w:ascii="Arial" w:hAnsi="Arial" w:hint="default"/>
        <w:sz w:val="20"/>
      </w:rPr>
    </w:lvl>
    <w:lvl w:ilvl="1">
      <w:start w:val="1"/>
      <w:numFmt w:val="decimal"/>
      <w:lvlText w:val="%1.%2"/>
      <w:lvlJc w:val="left"/>
      <w:pPr>
        <w:ind w:left="851" w:hanging="851"/>
      </w:pPr>
      <w:rPr>
        <w:rFonts w:ascii="Arial" w:hAnsi="Arial" w:hint="default"/>
        <w:sz w:val="20"/>
      </w:rPr>
    </w:lvl>
    <w:lvl w:ilvl="2">
      <w:start w:val="1"/>
      <w:numFmt w:val="decimal"/>
      <w:lvlText w:val="%1.%2.%3"/>
      <w:lvlJc w:val="left"/>
      <w:pPr>
        <w:ind w:left="851" w:hanging="851"/>
      </w:pPr>
      <w:rPr>
        <w:rFonts w:ascii="Arial" w:hAnsi="Arial" w:hint="default"/>
        <w:b w:val="0"/>
        <w:i w:val="0"/>
        <w:caps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04165E"/>
    <w:multiLevelType w:val="hybridMultilevel"/>
    <w:tmpl w:val="45066D14"/>
    <w:lvl w:ilvl="0" w:tplc="AFA028BE">
      <w:start w:val="1"/>
      <w:numFmt w:val="decimal"/>
      <w:lvlText w:val="%1."/>
      <w:lvlJc w:val="left"/>
      <w:pPr>
        <w:ind w:left="720" w:hanging="360"/>
      </w:pPr>
      <w:rPr>
        <w:rFonts w:hint="default"/>
      </w:rPr>
    </w:lvl>
    <w:lvl w:ilvl="1" w:tplc="55065236" w:tentative="1">
      <w:start w:val="1"/>
      <w:numFmt w:val="lowerLetter"/>
      <w:lvlText w:val="%2."/>
      <w:lvlJc w:val="left"/>
      <w:pPr>
        <w:ind w:left="1440" w:hanging="360"/>
      </w:pPr>
    </w:lvl>
    <w:lvl w:ilvl="2" w:tplc="4CE67954" w:tentative="1">
      <w:start w:val="1"/>
      <w:numFmt w:val="lowerRoman"/>
      <w:lvlText w:val="%3."/>
      <w:lvlJc w:val="right"/>
      <w:pPr>
        <w:ind w:left="2160" w:hanging="180"/>
      </w:pPr>
    </w:lvl>
    <w:lvl w:ilvl="3" w:tplc="002AA286" w:tentative="1">
      <w:start w:val="1"/>
      <w:numFmt w:val="decimal"/>
      <w:lvlText w:val="%4."/>
      <w:lvlJc w:val="left"/>
      <w:pPr>
        <w:ind w:left="2880" w:hanging="360"/>
      </w:pPr>
    </w:lvl>
    <w:lvl w:ilvl="4" w:tplc="91F624B6" w:tentative="1">
      <w:start w:val="1"/>
      <w:numFmt w:val="lowerLetter"/>
      <w:lvlText w:val="%5."/>
      <w:lvlJc w:val="left"/>
      <w:pPr>
        <w:ind w:left="3600" w:hanging="360"/>
      </w:pPr>
    </w:lvl>
    <w:lvl w:ilvl="5" w:tplc="A3847C9C" w:tentative="1">
      <w:start w:val="1"/>
      <w:numFmt w:val="lowerRoman"/>
      <w:lvlText w:val="%6."/>
      <w:lvlJc w:val="right"/>
      <w:pPr>
        <w:ind w:left="4320" w:hanging="180"/>
      </w:pPr>
    </w:lvl>
    <w:lvl w:ilvl="6" w:tplc="0FB0310E" w:tentative="1">
      <w:start w:val="1"/>
      <w:numFmt w:val="decimal"/>
      <w:lvlText w:val="%7."/>
      <w:lvlJc w:val="left"/>
      <w:pPr>
        <w:ind w:left="5040" w:hanging="360"/>
      </w:pPr>
    </w:lvl>
    <w:lvl w:ilvl="7" w:tplc="67E65AC2" w:tentative="1">
      <w:start w:val="1"/>
      <w:numFmt w:val="lowerLetter"/>
      <w:lvlText w:val="%8."/>
      <w:lvlJc w:val="left"/>
      <w:pPr>
        <w:ind w:left="5760" w:hanging="360"/>
      </w:pPr>
    </w:lvl>
    <w:lvl w:ilvl="8" w:tplc="2AEC2C70" w:tentative="1">
      <w:start w:val="1"/>
      <w:numFmt w:val="lowerRoman"/>
      <w:lvlText w:val="%9."/>
      <w:lvlJc w:val="right"/>
      <w:pPr>
        <w:ind w:left="6480" w:hanging="180"/>
      </w:pPr>
    </w:lvl>
  </w:abstractNum>
  <w:abstractNum w:abstractNumId="8" w15:restartNumberingAfterBreak="0">
    <w:nsid w:val="32424CBF"/>
    <w:multiLevelType w:val="multilevel"/>
    <w:tmpl w:val="91749618"/>
    <w:lvl w:ilvl="0">
      <w:start w:val="1"/>
      <w:numFmt w:val="lowerLetter"/>
      <w:pStyle w:val="Styckea"/>
      <w:lvlText w:val="(%1)"/>
      <w:lvlJc w:val="left"/>
      <w:pPr>
        <w:ind w:left="1247" w:hanging="396"/>
      </w:pPr>
      <w:rPr>
        <w:rFonts w:hint="default"/>
      </w:rPr>
    </w:lvl>
    <w:lvl w:ilvl="1">
      <w:start w:val="1"/>
      <w:numFmt w:val="lowerRoman"/>
      <w:pStyle w:val="Styckei"/>
      <w:lvlText w:val="(%2)"/>
      <w:lvlJc w:val="left"/>
      <w:pPr>
        <w:ind w:left="1247" w:hanging="396"/>
      </w:pPr>
      <w:rPr>
        <w:rFonts w:hint="default"/>
      </w:rPr>
    </w:lvl>
    <w:lvl w:ilvl="2">
      <w:start w:val="1"/>
      <w:numFmt w:val="lowerRoman"/>
      <w:lvlText w:val="%3."/>
      <w:lvlJc w:val="right"/>
      <w:pPr>
        <w:ind w:left="1247" w:hanging="396"/>
      </w:pPr>
      <w:rPr>
        <w:rFonts w:hint="default"/>
      </w:rPr>
    </w:lvl>
    <w:lvl w:ilvl="3">
      <w:start w:val="1"/>
      <w:numFmt w:val="decimal"/>
      <w:lvlText w:val="%4."/>
      <w:lvlJc w:val="left"/>
      <w:pPr>
        <w:ind w:left="1247" w:hanging="396"/>
      </w:pPr>
      <w:rPr>
        <w:rFonts w:hint="default"/>
      </w:rPr>
    </w:lvl>
    <w:lvl w:ilvl="4">
      <w:start w:val="1"/>
      <w:numFmt w:val="lowerLetter"/>
      <w:lvlText w:val="%5."/>
      <w:lvlJc w:val="left"/>
      <w:pPr>
        <w:ind w:left="1247" w:hanging="396"/>
      </w:pPr>
      <w:rPr>
        <w:rFonts w:hint="default"/>
      </w:rPr>
    </w:lvl>
    <w:lvl w:ilvl="5">
      <w:start w:val="1"/>
      <w:numFmt w:val="lowerRoman"/>
      <w:lvlText w:val="%6."/>
      <w:lvlJc w:val="right"/>
      <w:pPr>
        <w:ind w:left="1247" w:hanging="396"/>
      </w:pPr>
      <w:rPr>
        <w:rFonts w:hint="default"/>
      </w:rPr>
    </w:lvl>
    <w:lvl w:ilvl="6">
      <w:start w:val="1"/>
      <w:numFmt w:val="decimal"/>
      <w:lvlText w:val="%7."/>
      <w:lvlJc w:val="left"/>
      <w:pPr>
        <w:ind w:left="1247" w:hanging="396"/>
      </w:pPr>
      <w:rPr>
        <w:rFonts w:hint="default"/>
      </w:rPr>
    </w:lvl>
    <w:lvl w:ilvl="7">
      <w:start w:val="1"/>
      <w:numFmt w:val="lowerLetter"/>
      <w:lvlText w:val="%8."/>
      <w:lvlJc w:val="left"/>
      <w:pPr>
        <w:ind w:left="1247" w:hanging="396"/>
      </w:pPr>
      <w:rPr>
        <w:rFonts w:hint="default"/>
      </w:rPr>
    </w:lvl>
    <w:lvl w:ilvl="8">
      <w:start w:val="1"/>
      <w:numFmt w:val="lowerRoman"/>
      <w:lvlText w:val="%9."/>
      <w:lvlJc w:val="right"/>
      <w:pPr>
        <w:ind w:left="1247" w:hanging="396"/>
      </w:pPr>
      <w:rPr>
        <w:rFonts w:hint="default"/>
      </w:rPr>
    </w:lvl>
  </w:abstractNum>
  <w:abstractNum w:abstractNumId="9" w15:restartNumberingAfterBreak="0">
    <w:nsid w:val="34295583"/>
    <w:multiLevelType w:val="multilevel"/>
    <w:tmpl w:val="23C2498E"/>
    <w:styleLink w:val="Nord"/>
    <w:lvl w:ilvl="0">
      <w:start w:val="1"/>
      <w:numFmt w:val="decimal"/>
      <w:lvlText w:val="%1"/>
      <w:lvlJc w:val="left"/>
      <w:pPr>
        <w:ind w:left="851" w:hanging="851"/>
      </w:pPr>
      <w:rPr>
        <w:rFonts w:ascii="Arial" w:hAnsi="Arial" w:hint="default"/>
        <w:b/>
        <w:caps/>
        <w:smallCaps w:val="0"/>
        <w:sz w:val="20"/>
      </w:rPr>
    </w:lvl>
    <w:lvl w:ilvl="1">
      <w:start w:val="1"/>
      <w:numFmt w:val="decimal"/>
      <w:lvlText w:val="%1.%2"/>
      <w:lvlJc w:val="left"/>
      <w:pPr>
        <w:ind w:left="1135" w:hanging="851"/>
      </w:pPr>
      <w:rPr>
        <w:rFonts w:ascii="Arial" w:hAnsi="Arial" w:hint="default"/>
        <w:sz w:val="20"/>
      </w:rPr>
    </w:lvl>
    <w:lvl w:ilvl="2">
      <w:start w:val="1"/>
      <w:numFmt w:val="decimal"/>
      <w:lvlText w:val="%1.%3"/>
      <w:lvlJc w:val="left"/>
      <w:pPr>
        <w:ind w:left="851" w:hanging="851"/>
      </w:pPr>
      <w:rPr>
        <w:rFonts w:ascii="Arial" w:hAnsi="Arial" w:hint="default"/>
        <w:b/>
        <w:sz w:val="20"/>
      </w:rPr>
    </w:lvl>
    <w:lvl w:ilvl="3">
      <w:start w:val="1"/>
      <w:numFmt w:val="decimal"/>
      <w:lvlText w:val="%1.%2.%4"/>
      <w:lvlJc w:val="left"/>
      <w:pPr>
        <w:ind w:left="851" w:hanging="851"/>
      </w:pPr>
      <w:rPr>
        <w:rFonts w:ascii="Arial" w:hAnsi="Arial" w:hint="default"/>
        <w:sz w:val="20"/>
      </w:rPr>
    </w:lvl>
    <w:lvl w:ilvl="4">
      <w:start w:val="1"/>
      <w:numFmt w:val="decimal"/>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356E0D52"/>
    <w:multiLevelType w:val="multilevel"/>
    <w:tmpl w:val="AEACB13A"/>
    <w:lvl w:ilvl="0">
      <w:start w:val="1"/>
      <w:numFmt w:val="bullet"/>
      <w:pStyle w:val="ListBullet"/>
      <w:lvlText w:val=""/>
      <w:lvlJc w:val="left"/>
      <w:pPr>
        <w:ind w:left="284" w:hanging="284"/>
      </w:pPr>
      <w:rPr>
        <w:rFonts w:ascii="Wingdings" w:hAnsi="Wingdings" w:hint="default"/>
        <w:i w:val="0"/>
        <w:iCs w:val="0"/>
        <w:smallCaps w:val="0"/>
        <w:strike w:val="0"/>
        <w:dstrike w:val="0"/>
        <w:vanish w:val="0"/>
        <w:color w:val="auto"/>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
      <w:lvlJc w:val="left"/>
      <w:pPr>
        <w:ind w:left="284" w:hanging="284"/>
      </w:pPr>
      <w:rPr>
        <w:rFonts w:ascii="Symbol" w:hAnsi="Symbol" w:hint="default"/>
        <w:color w:val="auto"/>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num w:numId="1">
    <w:abstractNumId w:val="4"/>
  </w:num>
  <w:num w:numId="2">
    <w:abstractNumId w:val="9"/>
  </w:num>
  <w:num w:numId="3">
    <w:abstractNumId w:val="4"/>
  </w:num>
  <w:num w:numId="4">
    <w:abstractNumId w:val="1"/>
  </w:num>
  <w:num w:numId="5">
    <w:abstractNumId w:val="1"/>
  </w:num>
  <w:num w:numId="6">
    <w:abstractNumId w:val="3"/>
  </w:num>
  <w:num w:numId="7">
    <w:abstractNumId w:val="2"/>
  </w:num>
  <w:num w:numId="8">
    <w:abstractNumId w:val="10"/>
  </w:num>
  <w:num w:numId="9">
    <w:abstractNumId w:val="0"/>
  </w:num>
  <w:num w:numId="10">
    <w:abstractNumId w:val="10"/>
  </w:num>
  <w:num w:numId="11">
    <w:abstractNumId w:val="4"/>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6"/>
  </w:num>
  <w:num w:numId="20">
    <w:abstractNumId w:val="8"/>
  </w:num>
  <w:num w:numId="21">
    <w:abstractNumId w:val="8"/>
  </w:num>
  <w:num w:numId="22">
    <w:abstractNumId w:val="4"/>
  </w:num>
  <w:num w:numId="23">
    <w:abstractNumId w:val="4"/>
    <w:lvlOverride w:ilvl="0">
      <w:lvl w:ilvl="0">
        <w:start w:val="1"/>
        <w:numFmt w:val="decimal"/>
        <w:pStyle w:val="Heading1"/>
        <w:lvlText w:val="%1"/>
        <w:lvlJc w:val="left"/>
        <w:pPr>
          <w:ind w:left="851" w:hanging="851"/>
        </w:pPr>
        <w:rPr>
          <w:rFonts w:ascii="Arial" w:hAnsi="Arial" w:hint="default"/>
          <w:b/>
          <w:caps/>
          <w:smallCaps w:val="0"/>
          <w:sz w:val="20"/>
        </w:rPr>
      </w:lvl>
    </w:lvlOverride>
    <w:lvlOverride w:ilvl="1">
      <w:lvl w:ilvl="1">
        <w:start w:val="1"/>
        <w:numFmt w:val="decimal"/>
        <w:pStyle w:val="Stycke1"/>
        <w:lvlText w:val="%1.%2"/>
        <w:lvlJc w:val="left"/>
        <w:pPr>
          <w:ind w:left="851" w:hanging="851"/>
        </w:pPr>
        <w:rPr>
          <w:rFonts w:ascii="Arial" w:hAnsi="Arial" w:hint="default"/>
          <w:sz w:val="20"/>
        </w:rPr>
      </w:lvl>
    </w:lvlOverride>
    <w:lvlOverride w:ilvl="2">
      <w:lvl w:ilvl="2">
        <w:start w:val="1"/>
        <w:numFmt w:val="decimal"/>
        <w:pStyle w:val="Heading2"/>
        <w:lvlText w:val="%1.%3"/>
        <w:lvlJc w:val="left"/>
        <w:pPr>
          <w:ind w:left="851" w:hanging="851"/>
        </w:pPr>
        <w:rPr>
          <w:rFonts w:ascii="Arial" w:hAnsi="Arial" w:hint="default"/>
          <w:b/>
          <w:sz w:val="20"/>
        </w:rPr>
      </w:lvl>
    </w:lvlOverride>
    <w:lvlOverride w:ilvl="3">
      <w:lvl w:ilvl="3">
        <w:start w:val="1"/>
        <w:numFmt w:val="decimal"/>
        <w:pStyle w:val="Stycke2"/>
        <w:lvlText w:val="%1.%3.%4"/>
        <w:lvlJc w:val="left"/>
        <w:pPr>
          <w:ind w:left="851" w:hanging="851"/>
        </w:pPr>
        <w:rPr>
          <w:rFonts w:ascii="Arial" w:hAnsi="Arial" w:hint="default"/>
          <w:sz w:val="20"/>
        </w:rPr>
      </w:lvl>
    </w:lvlOverride>
    <w:lvlOverride w:ilvl="4">
      <w:lvl w:ilvl="4">
        <w:start w:val="1"/>
        <w:numFmt w:val="decimal"/>
        <w:pStyle w:val="Heading3"/>
        <w:lvlText w:val="%1.%3.%5"/>
        <w:lvlJc w:val="left"/>
        <w:pPr>
          <w:ind w:left="851" w:hanging="851"/>
        </w:pPr>
        <w:rPr>
          <w:rFonts w:ascii="Arial" w:hAnsi="Arial" w:hint="default"/>
          <w:i/>
          <w:sz w:val="20"/>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DA"/>
    <w:rsid w:val="00093521"/>
    <w:rsid w:val="000F0CCF"/>
    <w:rsid w:val="001450A2"/>
    <w:rsid w:val="00442D5D"/>
    <w:rsid w:val="004F44D2"/>
    <w:rsid w:val="005D4B4F"/>
    <w:rsid w:val="00630405"/>
    <w:rsid w:val="00811EBE"/>
    <w:rsid w:val="008230DB"/>
    <w:rsid w:val="00905567"/>
    <w:rsid w:val="00B34631"/>
    <w:rsid w:val="00BB6B89"/>
    <w:rsid w:val="00C342DA"/>
    <w:rsid w:val="00C553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74F4C-ACD4-4783-8F1B-B99C0B42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5F5D"/>
    <w:pPr>
      <w:spacing w:after="120" w:line="288" w:lineRule="auto"/>
    </w:pPr>
    <w:rPr>
      <w:rFonts w:ascii="Arial" w:hAnsi="Arial"/>
      <w:sz w:val="20"/>
    </w:rPr>
  </w:style>
  <w:style w:type="paragraph" w:styleId="Heading1">
    <w:name w:val="heading 1"/>
    <w:next w:val="Normal"/>
    <w:link w:val="Heading1Char"/>
    <w:uiPriority w:val="1"/>
    <w:qFormat/>
    <w:rsid w:val="004E5F5D"/>
    <w:pPr>
      <w:keepNext/>
      <w:keepLines/>
      <w:numPr>
        <w:numId w:val="23"/>
      </w:numPr>
      <w:spacing w:before="240" w:after="120" w:line="288" w:lineRule="auto"/>
      <w:outlineLvl w:val="0"/>
    </w:pPr>
    <w:rPr>
      <w:rFonts w:ascii="Arial" w:eastAsiaTheme="majorEastAsia" w:hAnsi="Arial" w:cstheme="majorBidi"/>
      <w:b/>
      <w:bCs/>
      <w:caps/>
      <w:sz w:val="20"/>
      <w:szCs w:val="28"/>
    </w:rPr>
  </w:style>
  <w:style w:type="paragraph" w:styleId="Heading2">
    <w:name w:val="heading 2"/>
    <w:next w:val="Normal"/>
    <w:link w:val="Heading2Char"/>
    <w:uiPriority w:val="1"/>
    <w:qFormat/>
    <w:rsid w:val="004E5F5D"/>
    <w:pPr>
      <w:keepNext/>
      <w:keepLines/>
      <w:numPr>
        <w:ilvl w:val="2"/>
        <w:numId w:val="23"/>
      </w:numPr>
      <w:spacing w:before="240" w:after="120" w:line="288" w:lineRule="auto"/>
      <w:outlineLvl w:val="1"/>
    </w:pPr>
    <w:rPr>
      <w:rFonts w:ascii="Arial" w:eastAsiaTheme="majorEastAsia" w:hAnsi="Arial" w:cstheme="majorBidi"/>
      <w:b/>
      <w:bCs/>
      <w:sz w:val="20"/>
      <w:szCs w:val="26"/>
    </w:rPr>
  </w:style>
  <w:style w:type="paragraph" w:styleId="Heading3">
    <w:name w:val="heading 3"/>
    <w:basedOn w:val="Normal"/>
    <w:next w:val="IndragNormal"/>
    <w:link w:val="Heading3Char"/>
    <w:uiPriority w:val="1"/>
    <w:qFormat/>
    <w:rsid w:val="004E5F5D"/>
    <w:pPr>
      <w:keepNext/>
      <w:keepLines/>
      <w:numPr>
        <w:ilvl w:val="4"/>
        <w:numId w:val="23"/>
      </w:numPr>
      <w:spacing w:before="240"/>
      <w:outlineLvl w:val="2"/>
    </w:pPr>
    <w:rPr>
      <w:rFonts w:eastAsiaTheme="majorEastAsia" w:cstheme="majorBidi"/>
      <w:bCs/>
      <w:i/>
    </w:rPr>
  </w:style>
  <w:style w:type="paragraph" w:styleId="Heading4">
    <w:name w:val="heading 4"/>
    <w:basedOn w:val="Normal"/>
    <w:next w:val="Normal"/>
    <w:link w:val="Heading4Char"/>
    <w:uiPriority w:val="9"/>
    <w:semiHidden/>
    <w:qFormat/>
    <w:rsid w:val="004E5F5D"/>
    <w:pPr>
      <w:keepNext/>
      <w:keepLines/>
      <w:numPr>
        <w:ilvl w:val="3"/>
        <w:numId w:val="18"/>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4E5F5D"/>
    <w:pPr>
      <w:keepNext/>
      <w:keepLines/>
      <w:numPr>
        <w:ilvl w:val="4"/>
        <w:numId w:val="18"/>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4E5F5D"/>
    <w:pPr>
      <w:keepNext/>
      <w:keepLines/>
      <w:numPr>
        <w:ilvl w:val="5"/>
        <w:numId w:val="1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4E5F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E5F5D"/>
    <w:pPr>
      <w:keepNext/>
      <w:keepLines/>
      <w:numPr>
        <w:ilvl w:val="7"/>
        <w:numId w:val="1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4E5F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5D"/>
    <w:rPr>
      <w:rFonts w:ascii="Tahoma" w:hAnsi="Tahoma" w:cs="Tahoma"/>
      <w:sz w:val="16"/>
      <w:szCs w:val="16"/>
    </w:rPr>
  </w:style>
  <w:style w:type="paragraph" w:styleId="FootnoteText">
    <w:name w:val="footnote text"/>
    <w:basedOn w:val="Normal"/>
    <w:link w:val="FootnoteTextChar"/>
    <w:uiPriority w:val="99"/>
    <w:semiHidden/>
    <w:unhideWhenUsed/>
    <w:rsid w:val="004E5F5D"/>
    <w:pPr>
      <w:spacing w:after="0" w:line="240" w:lineRule="auto"/>
    </w:pPr>
    <w:rPr>
      <w:szCs w:val="20"/>
    </w:rPr>
  </w:style>
  <w:style w:type="character" w:customStyle="1" w:styleId="FootnoteTextChar">
    <w:name w:val="Footnote Text Char"/>
    <w:basedOn w:val="DefaultParagraphFont"/>
    <w:link w:val="FootnoteText"/>
    <w:uiPriority w:val="99"/>
    <w:semiHidden/>
    <w:rsid w:val="004E5F5D"/>
    <w:rPr>
      <w:rFonts w:ascii="Arial" w:hAnsi="Arial"/>
      <w:sz w:val="20"/>
      <w:szCs w:val="20"/>
    </w:rPr>
  </w:style>
  <w:style w:type="character" w:styleId="Hyperlink">
    <w:name w:val="Hyperlink"/>
    <w:basedOn w:val="DefaultParagraphFont"/>
    <w:uiPriority w:val="99"/>
    <w:unhideWhenUsed/>
    <w:rsid w:val="004E5F5D"/>
    <w:rPr>
      <w:color w:val="0563C1" w:themeColor="hyperlink"/>
      <w:u w:val="single"/>
    </w:rPr>
  </w:style>
  <w:style w:type="paragraph" w:customStyle="1" w:styleId="Ifyllnad">
    <w:name w:val="Ifyllnad"/>
    <w:rsid w:val="004E5F5D"/>
    <w:pPr>
      <w:spacing w:after="0" w:line="240" w:lineRule="auto"/>
    </w:pPr>
    <w:rPr>
      <w:rFonts w:ascii="Arial" w:hAnsi="Arial"/>
      <w:sz w:val="18"/>
    </w:rPr>
  </w:style>
  <w:style w:type="paragraph" w:customStyle="1" w:styleId="IndragNormal">
    <w:name w:val="Indrag Normal"/>
    <w:basedOn w:val="Normal"/>
    <w:uiPriority w:val="3"/>
    <w:qFormat/>
    <w:rsid w:val="004E5F5D"/>
    <w:pPr>
      <w:ind w:left="851"/>
    </w:pPr>
    <w:rPr>
      <w:noProof/>
      <w:lang w:val="en-GB"/>
    </w:rPr>
  </w:style>
  <w:style w:type="paragraph" w:styleId="TOC1">
    <w:name w:val="toc 1"/>
    <w:basedOn w:val="Normal"/>
    <w:next w:val="Normal"/>
    <w:autoRedefine/>
    <w:uiPriority w:val="39"/>
    <w:rsid w:val="004E5F5D"/>
    <w:pPr>
      <w:tabs>
        <w:tab w:val="left" w:pos="851"/>
        <w:tab w:val="right" w:leader="dot" w:pos="9060"/>
      </w:tabs>
      <w:spacing w:after="100"/>
      <w:ind w:left="851" w:hanging="851"/>
    </w:pPr>
    <w:rPr>
      <w:caps/>
    </w:rPr>
  </w:style>
  <w:style w:type="paragraph" w:styleId="TOC2">
    <w:name w:val="toc 2"/>
    <w:basedOn w:val="Normal"/>
    <w:next w:val="Normal"/>
    <w:autoRedefine/>
    <w:uiPriority w:val="39"/>
    <w:rsid w:val="004E5F5D"/>
    <w:pPr>
      <w:tabs>
        <w:tab w:val="left" w:pos="851"/>
        <w:tab w:val="right" w:leader="dot" w:pos="9060"/>
      </w:tabs>
      <w:spacing w:after="100"/>
      <w:ind w:left="851" w:hanging="851"/>
    </w:pPr>
  </w:style>
  <w:style w:type="paragraph" w:styleId="TOC3">
    <w:name w:val="toc 3"/>
    <w:basedOn w:val="Normal"/>
    <w:next w:val="Normal"/>
    <w:autoRedefine/>
    <w:uiPriority w:val="39"/>
    <w:rsid w:val="004E5F5D"/>
    <w:pPr>
      <w:tabs>
        <w:tab w:val="left" w:pos="851"/>
        <w:tab w:val="right" w:leader="dot" w:pos="9061"/>
      </w:tabs>
      <w:spacing w:after="100"/>
      <w:ind w:left="851" w:hanging="851"/>
    </w:pPr>
  </w:style>
  <w:style w:type="character" w:customStyle="1" w:styleId="Heading1Char">
    <w:name w:val="Heading 1 Char"/>
    <w:basedOn w:val="DefaultParagraphFont"/>
    <w:link w:val="Heading1"/>
    <w:uiPriority w:val="1"/>
    <w:rsid w:val="004E5F5D"/>
    <w:rPr>
      <w:rFonts w:ascii="Arial" w:eastAsiaTheme="majorEastAsia" w:hAnsi="Arial" w:cstheme="majorBidi"/>
      <w:b/>
      <w:bCs/>
      <w:caps/>
      <w:sz w:val="20"/>
      <w:szCs w:val="28"/>
    </w:rPr>
  </w:style>
  <w:style w:type="paragraph" w:styleId="TOCHeading">
    <w:name w:val="TOC Heading"/>
    <w:basedOn w:val="Heading1"/>
    <w:next w:val="Normal"/>
    <w:uiPriority w:val="39"/>
    <w:rsid w:val="004E5F5D"/>
    <w:pPr>
      <w:numPr>
        <w:numId w:val="0"/>
      </w:numPr>
      <w:pBdr>
        <w:bottom w:val="single" w:sz="4" w:space="1" w:color="auto"/>
      </w:pBdr>
      <w:spacing w:before="0"/>
      <w:outlineLvl w:val="9"/>
    </w:pPr>
  </w:style>
  <w:style w:type="paragraph" w:customStyle="1" w:styleId="Ledtext">
    <w:name w:val="Ledtext"/>
    <w:rsid w:val="004E5F5D"/>
    <w:pPr>
      <w:spacing w:after="120" w:line="288" w:lineRule="auto"/>
    </w:pPr>
    <w:rPr>
      <w:rFonts w:ascii="Arial" w:hAnsi="Arial"/>
      <w:b/>
      <w:sz w:val="18"/>
    </w:rPr>
  </w:style>
  <w:style w:type="paragraph" w:styleId="ListParagraph">
    <w:name w:val="List Paragraph"/>
    <w:basedOn w:val="Normal"/>
    <w:uiPriority w:val="34"/>
    <w:rsid w:val="004E5F5D"/>
    <w:pPr>
      <w:ind w:left="720"/>
      <w:contextualSpacing/>
    </w:pPr>
  </w:style>
  <w:style w:type="numbering" w:customStyle="1" w:styleId="Nord">
    <w:name w:val="Nord"/>
    <w:uiPriority w:val="99"/>
    <w:rsid w:val="004E5F5D"/>
    <w:pPr>
      <w:numPr>
        <w:numId w:val="2"/>
      </w:numPr>
    </w:pPr>
  </w:style>
  <w:style w:type="numbering" w:customStyle="1" w:styleId="NordoCo">
    <w:name w:val="Nord o Co"/>
    <w:uiPriority w:val="99"/>
    <w:rsid w:val="004E5F5D"/>
    <w:pPr>
      <w:numPr>
        <w:numId w:val="1"/>
      </w:numPr>
    </w:pPr>
  </w:style>
  <w:style w:type="paragraph" w:styleId="ListNumber">
    <w:name w:val="List Number"/>
    <w:basedOn w:val="Normal"/>
    <w:uiPriority w:val="4"/>
    <w:qFormat/>
    <w:rsid w:val="004E5F5D"/>
    <w:pPr>
      <w:numPr>
        <w:numId w:val="5"/>
      </w:numPr>
    </w:pPr>
  </w:style>
  <w:style w:type="numbering" w:customStyle="1" w:styleId="NumreradRubrik">
    <w:name w:val="Numrerad Rubrik"/>
    <w:uiPriority w:val="99"/>
    <w:rsid w:val="004E5F5D"/>
    <w:pPr>
      <w:numPr>
        <w:numId w:val="6"/>
      </w:numPr>
    </w:pPr>
  </w:style>
  <w:style w:type="paragraph" w:customStyle="1" w:styleId="Onumstycke">
    <w:name w:val="Onum stycke"/>
    <w:uiPriority w:val="3"/>
    <w:rsid w:val="004E5F5D"/>
    <w:pPr>
      <w:spacing w:after="120" w:line="288" w:lineRule="auto"/>
      <w:ind w:left="851"/>
    </w:pPr>
    <w:rPr>
      <w:rFonts w:ascii="Arial" w:eastAsiaTheme="majorEastAsia" w:hAnsi="Arial" w:cstheme="majorBidi"/>
      <w:bCs/>
      <w:sz w:val="18"/>
      <w:szCs w:val="26"/>
    </w:rPr>
  </w:style>
  <w:style w:type="character" w:styleId="PlaceholderText">
    <w:name w:val="Placeholder Text"/>
    <w:basedOn w:val="DefaultParagraphFont"/>
    <w:uiPriority w:val="99"/>
    <w:semiHidden/>
    <w:rsid w:val="004E5F5D"/>
    <w:rPr>
      <w:color w:val="808080"/>
    </w:rPr>
  </w:style>
  <w:style w:type="paragraph" w:styleId="ListBullet">
    <w:name w:val="List Bullet"/>
    <w:uiPriority w:val="4"/>
    <w:qFormat/>
    <w:rsid w:val="004E5F5D"/>
    <w:pPr>
      <w:numPr>
        <w:numId w:val="10"/>
      </w:numPr>
      <w:spacing w:after="120" w:line="288" w:lineRule="auto"/>
      <w:contextualSpacing/>
    </w:pPr>
    <w:rPr>
      <w:rFonts w:ascii="Arial" w:hAnsi="Arial"/>
      <w:sz w:val="20"/>
    </w:rPr>
  </w:style>
  <w:style w:type="paragraph" w:styleId="ListBullet2">
    <w:name w:val="List Bullet 2"/>
    <w:basedOn w:val="Normal"/>
    <w:uiPriority w:val="4"/>
    <w:qFormat/>
    <w:rsid w:val="004E5F5D"/>
    <w:pPr>
      <w:numPr>
        <w:ilvl w:val="1"/>
        <w:numId w:val="10"/>
      </w:numPr>
    </w:pPr>
    <w:rPr>
      <w:rFonts w:eastAsiaTheme="majorEastAsia" w:cstheme="majorBidi"/>
      <w:bCs/>
      <w:szCs w:val="28"/>
    </w:rPr>
  </w:style>
  <w:style w:type="paragraph" w:styleId="Title">
    <w:name w:val="Title"/>
    <w:basedOn w:val="Heading1"/>
    <w:next w:val="Normal"/>
    <w:link w:val="TitleChar"/>
    <w:qFormat/>
    <w:rsid w:val="004E5F5D"/>
    <w:pPr>
      <w:numPr>
        <w:numId w:val="0"/>
      </w:numPr>
    </w:pPr>
    <w:rPr>
      <w:spacing w:val="5"/>
      <w:kern w:val="28"/>
      <w:szCs w:val="52"/>
    </w:rPr>
  </w:style>
  <w:style w:type="character" w:customStyle="1" w:styleId="TitleChar">
    <w:name w:val="Title Char"/>
    <w:basedOn w:val="DefaultParagraphFont"/>
    <w:link w:val="Title"/>
    <w:rsid w:val="004E5F5D"/>
    <w:rPr>
      <w:rFonts w:ascii="Arial" w:eastAsiaTheme="majorEastAsia" w:hAnsi="Arial" w:cstheme="majorBidi"/>
      <w:b/>
      <w:bCs/>
      <w:caps/>
      <w:spacing w:val="5"/>
      <w:kern w:val="28"/>
      <w:sz w:val="20"/>
      <w:szCs w:val="52"/>
    </w:rPr>
  </w:style>
  <w:style w:type="character" w:customStyle="1" w:styleId="Heading2Char">
    <w:name w:val="Heading 2 Char"/>
    <w:basedOn w:val="DefaultParagraphFont"/>
    <w:link w:val="Heading2"/>
    <w:uiPriority w:val="1"/>
    <w:rsid w:val="004E5F5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1"/>
    <w:rsid w:val="004E5F5D"/>
    <w:rPr>
      <w:rFonts w:ascii="Arial" w:eastAsiaTheme="majorEastAsia" w:hAnsi="Arial" w:cstheme="majorBidi"/>
      <w:bCs/>
      <w:i/>
      <w:sz w:val="20"/>
    </w:rPr>
  </w:style>
  <w:style w:type="character" w:customStyle="1" w:styleId="Heading4Char">
    <w:name w:val="Heading 4 Char"/>
    <w:basedOn w:val="DefaultParagraphFont"/>
    <w:link w:val="Heading4"/>
    <w:uiPriority w:val="9"/>
    <w:semiHidden/>
    <w:rsid w:val="004E5F5D"/>
    <w:rPr>
      <w:rFonts w:asciiTheme="majorHAnsi" w:eastAsiaTheme="majorEastAsia"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4E5F5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4E5F5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4E5F5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E5F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5F5D"/>
    <w:rPr>
      <w:rFonts w:asciiTheme="majorHAnsi" w:eastAsiaTheme="majorEastAsia" w:hAnsiTheme="majorHAnsi" w:cstheme="majorBidi"/>
      <w:i/>
      <w:iCs/>
      <w:color w:val="404040" w:themeColor="text1" w:themeTint="BF"/>
      <w:sz w:val="20"/>
      <w:szCs w:val="20"/>
    </w:rPr>
  </w:style>
  <w:style w:type="paragraph" w:styleId="Footer">
    <w:name w:val="footer"/>
    <w:link w:val="FooterChar"/>
    <w:uiPriority w:val="99"/>
    <w:unhideWhenUsed/>
    <w:rsid w:val="004E5F5D"/>
    <w:pPr>
      <w:tabs>
        <w:tab w:val="center" w:pos="4536"/>
        <w:tab w:val="right" w:pos="9072"/>
      </w:tabs>
      <w:spacing w:after="0" w:line="240" w:lineRule="auto"/>
    </w:pPr>
    <w:rPr>
      <w:rFonts w:ascii="Arial" w:hAnsi="Arial"/>
      <w:sz w:val="13"/>
    </w:rPr>
  </w:style>
  <w:style w:type="character" w:customStyle="1" w:styleId="FooterChar">
    <w:name w:val="Footer Char"/>
    <w:basedOn w:val="DefaultParagraphFont"/>
    <w:link w:val="Footer"/>
    <w:uiPriority w:val="99"/>
    <w:rsid w:val="004E5F5D"/>
    <w:rPr>
      <w:rFonts w:ascii="Arial" w:hAnsi="Arial"/>
      <w:sz w:val="13"/>
    </w:rPr>
  </w:style>
  <w:style w:type="paragraph" w:styleId="Header">
    <w:name w:val="header"/>
    <w:basedOn w:val="Normal"/>
    <w:link w:val="HeaderChar"/>
    <w:uiPriority w:val="99"/>
    <w:unhideWhenUsed/>
    <w:rsid w:val="004E5F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F5D"/>
    <w:rPr>
      <w:rFonts w:ascii="Arial" w:hAnsi="Arial"/>
      <w:sz w:val="20"/>
    </w:rPr>
  </w:style>
  <w:style w:type="numbering" w:customStyle="1" w:styleId="Stycke">
    <w:name w:val="Stycke"/>
    <w:uiPriority w:val="99"/>
    <w:rsid w:val="004E5F5D"/>
    <w:pPr>
      <w:numPr>
        <w:numId w:val="19"/>
      </w:numPr>
    </w:pPr>
  </w:style>
  <w:style w:type="paragraph" w:customStyle="1" w:styleId="Styckea">
    <w:name w:val="Stycke (a)"/>
    <w:uiPriority w:val="3"/>
    <w:qFormat/>
    <w:rsid w:val="004E5F5D"/>
    <w:pPr>
      <w:numPr>
        <w:numId w:val="21"/>
      </w:numPr>
      <w:spacing w:after="120" w:line="288" w:lineRule="auto"/>
    </w:pPr>
    <w:rPr>
      <w:rFonts w:ascii="Arial" w:eastAsiaTheme="majorEastAsia" w:hAnsi="Arial" w:cstheme="majorBidi"/>
      <w:bCs/>
      <w:sz w:val="20"/>
      <w:szCs w:val="26"/>
    </w:rPr>
  </w:style>
  <w:style w:type="paragraph" w:customStyle="1" w:styleId="Styckei">
    <w:name w:val="Stycke (i)"/>
    <w:uiPriority w:val="3"/>
    <w:qFormat/>
    <w:rsid w:val="004E5F5D"/>
    <w:pPr>
      <w:numPr>
        <w:ilvl w:val="1"/>
        <w:numId w:val="21"/>
      </w:numPr>
      <w:spacing w:after="120" w:line="288" w:lineRule="auto"/>
    </w:pPr>
    <w:rPr>
      <w:rFonts w:ascii="Arial" w:eastAsiaTheme="majorEastAsia" w:hAnsi="Arial" w:cstheme="majorBidi"/>
      <w:bCs/>
      <w:sz w:val="20"/>
      <w:szCs w:val="26"/>
    </w:rPr>
  </w:style>
  <w:style w:type="paragraph" w:customStyle="1" w:styleId="Stycke1">
    <w:name w:val="Stycke 1"/>
    <w:basedOn w:val="Normal"/>
    <w:uiPriority w:val="2"/>
    <w:qFormat/>
    <w:rsid w:val="004E5F5D"/>
    <w:pPr>
      <w:numPr>
        <w:ilvl w:val="1"/>
        <w:numId w:val="23"/>
      </w:numPr>
    </w:pPr>
  </w:style>
  <w:style w:type="paragraph" w:customStyle="1" w:styleId="Stycke2">
    <w:name w:val="Stycke 2"/>
    <w:basedOn w:val="Normal"/>
    <w:uiPriority w:val="2"/>
    <w:qFormat/>
    <w:rsid w:val="004E5F5D"/>
    <w:pPr>
      <w:numPr>
        <w:ilvl w:val="3"/>
        <w:numId w:val="23"/>
      </w:numPr>
    </w:pPr>
  </w:style>
  <w:style w:type="paragraph" w:customStyle="1" w:styleId="Stycke3">
    <w:name w:val="Stycke 3"/>
    <w:basedOn w:val="Heading3"/>
    <w:uiPriority w:val="2"/>
    <w:rsid w:val="004E5F5D"/>
    <w:pPr>
      <w:keepNext w:val="0"/>
      <w:keepLines w:val="0"/>
      <w:numPr>
        <w:ilvl w:val="0"/>
        <w:numId w:val="0"/>
      </w:numPr>
      <w:spacing w:before="0"/>
    </w:pPr>
    <w:rPr>
      <w:b/>
      <w:i w:val="0"/>
    </w:rPr>
  </w:style>
  <w:style w:type="table" w:styleId="TableGrid">
    <w:name w:val="Table Grid"/>
    <w:basedOn w:val="TableNormal"/>
    <w:uiPriority w:val="59"/>
    <w:rsid w:val="004E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 1"/>
    <w:basedOn w:val="Title"/>
    <w:next w:val="Normal"/>
    <w:uiPriority w:val="8"/>
    <w:qFormat/>
    <w:rsid w:val="004E5F5D"/>
    <w:pPr>
      <w:pBdr>
        <w:bottom w:val="single" w:sz="8" w:space="1" w:color="000000" w:themeColor="text1"/>
      </w:pBdr>
      <w:outlineLvl w:val="9"/>
    </w:pPr>
  </w:style>
  <w:style w:type="paragraph" w:customStyle="1" w:styleId="Titel2">
    <w:name w:val="Titel 2"/>
    <w:basedOn w:val="Normal"/>
    <w:uiPriority w:val="8"/>
    <w:qFormat/>
    <w:rsid w:val="004E5F5D"/>
    <w:pPr>
      <w:spacing w:after="360"/>
    </w:pPr>
    <w:rPr>
      <w:caps/>
    </w:rPr>
  </w:style>
  <w:style w:type="paragraph" w:styleId="Subtitle">
    <w:name w:val="Subtitle"/>
    <w:basedOn w:val="Normal"/>
    <w:next w:val="Normal"/>
    <w:link w:val="SubtitleChar"/>
    <w:qFormat/>
    <w:rsid w:val="00A55906"/>
    <w:pPr>
      <w:numPr>
        <w:ilvl w:val="1"/>
      </w:numPr>
      <w:spacing w:before="240"/>
      <w:outlineLvl w:val="0"/>
    </w:pPr>
    <w:rPr>
      <w:rFonts w:eastAsiaTheme="majorEastAsia" w:cstheme="majorBidi"/>
      <w:b/>
      <w:iCs/>
      <w:spacing w:val="15"/>
      <w:szCs w:val="24"/>
    </w:rPr>
  </w:style>
  <w:style w:type="character" w:customStyle="1" w:styleId="SubtitleChar">
    <w:name w:val="Subtitle Char"/>
    <w:basedOn w:val="DefaultParagraphFont"/>
    <w:link w:val="Subtitle"/>
    <w:rsid w:val="00A55906"/>
    <w:rPr>
      <w:rFonts w:ascii="Arial" w:eastAsiaTheme="majorEastAsia" w:hAnsi="Arial" w:cstheme="majorBidi"/>
      <w:b/>
      <w:iCs/>
      <w:spacing w:val="15"/>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4820</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Härle</cp:lastModifiedBy>
  <cp:revision>8</cp:revision>
  <dcterms:created xsi:type="dcterms:W3CDTF">2021-02-18T14:53:00Z</dcterms:created>
  <dcterms:modified xsi:type="dcterms:W3CDTF">2021-02-26T17:26:00Z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LEGAL#20493231v3</vt:lpwstr>
  </property>
  <property fmtid="{D5CDD505-2E9C-101B-9397-08002B2CF9AE}" pid="3" name="Removed">
    <vt:lpwstr>False</vt:lpwstr>
  </property>
</Properties>
</file>